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A163B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31</w:t>
      </w:r>
      <w:bookmarkStart w:id="0" w:name="_GoBack"/>
      <w:bookmarkEnd w:id="0"/>
      <w:r w:rsidR="00C16AA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stycznia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C16AA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A163B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C16AA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A163B1" w:rsidRPr="00A163B1" w:rsidRDefault="00A163B1" w:rsidP="00A163B1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63B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163B1" w:rsidRPr="00A163B1" w:rsidRDefault="00A163B1" w:rsidP="00A163B1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A163B1">
        <w:rPr>
          <w:rFonts w:ascii="Times New Roman" w:hAnsi="Times New Roman" w:cs="Times New Roman"/>
          <w:sz w:val="24"/>
        </w:rPr>
        <w:t>Zaopiniowanie sprawozdań z działalności stałych Komisji Rady Powiatu w 2019 roku.</w:t>
      </w:r>
    </w:p>
    <w:p w:rsidR="00A163B1" w:rsidRPr="00A163B1" w:rsidRDefault="00A163B1" w:rsidP="00A163B1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163B1">
        <w:rPr>
          <w:rFonts w:ascii="Times New Roman" w:hAnsi="Times New Roman" w:cs="Times New Roman"/>
          <w:sz w:val="24"/>
        </w:rPr>
        <w:t>Zaopiniowanie planów pracy stałych Komisji Rady Powiatu  na 2020 rok.</w:t>
      </w:r>
    </w:p>
    <w:p w:rsidR="00A163B1" w:rsidRPr="00A163B1" w:rsidRDefault="00A163B1" w:rsidP="00A163B1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163B1">
        <w:rPr>
          <w:rFonts w:ascii="Times New Roman" w:hAnsi="Times New Roman" w:cs="Times New Roman"/>
          <w:sz w:val="24"/>
        </w:rPr>
        <w:t>Sprawy różne.</w:t>
      </w:r>
    </w:p>
    <w:p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7B56D0"/>
    <w:rsid w:val="009A79BD"/>
    <w:rsid w:val="00A163B1"/>
    <w:rsid w:val="00A56AF8"/>
    <w:rsid w:val="00C16AA4"/>
    <w:rsid w:val="00CC1590"/>
    <w:rsid w:val="00CD3B36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8C9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2020-01-22T13:54:00Z</dcterms:created>
  <dcterms:modified xsi:type="dcterms:W3CDTF">2020-01-22T13:54:00Z</dcterms:modified>
</cp:coreProperties>
</file>